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ad00108c8454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32666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HRVATSKA KNJIŽNICA I ČITAONICA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96.653,17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132.512,49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89.630,20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121.275,77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7.022,97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11.236,72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13.661,86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13.661,86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18.406,34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6.638,89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7.169,62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do 30. rujna 2025. prihodi poslovanja ostvareni su u iznosu od  132.512,49 EUR-a, što je značajno povećanje ukupnih prihoda poslovanja u odnosu na isto razdoblje prethodne godine. 
Povećanje se bilježi na sljedećim stavkama:
- Kapitalne pomoći proračunskim korisnicima iz proračuna koji im nije nadležan ( Knjižnica je tijekom 2025. godine ostvarila više sredstava iz državnog proračuna temeljem projektnog financiranja, putem javnih poziva Ministarstva kulture i medija RH. Riječ je o projektima koji se odnose na kulturne i edukativne programe za građane , nabavu knjižne građe i opreme ),
- Kamate na oročena sredstva i depozite po viđenju ( Prihod od kamata na depozite po viđenju obračunate za novčana sredstva na žiroračunu ),
- Prihodi po posebnim propisima ( Prihodi ostvareni na temelju posebnih propisa -  članarine korisnika knjižnice te naknade za zakasninu pri vraćanju građe također su porasli. Razlozi su povećan broj korisnika i veća aktivnost u posudbi knjižnične građe ),
- Prihodi iz nadležnog proračunu za financiranje redovne djelatnosti proračunskih korisnika ( Osnivač je osigurao  veće iznose proračunskih sredstava za redovno poslovanje knjižnice, čime je omogućeno stabilno financiranje osnovne djelatnosti i dijela razvojnih aktivnosti ),
- Ostali prihodi ( Ovaj prihod ne proizlaze iz osnovne knjižnične djelatnosti, već predstavlja prihod nastao iz drugih izvora ).
Rashodi poslovanja u razdoblju od 1. siječnja do 30. rujan 2025. ostvareni su u iznosu od 121.275,77 EUR.
Najznačajnije povećanje rashoda evidentirano je na rashodima za zaposlene uslijed povećanja osnovice za obračun  plaće, te na ostalim nespomenutim rashodima poslovanja - troškovi reprezentacije i protokola uslijed povećanog broja manifestacija održanih u knjižnici. Najznačajnije smanjenje rashoda poslovanja bilježi se na rashodima za sitan inventar što je rezultat racionalizacije potrošnje i smanjene potrebe za nabavom istog.
U navedenom razdoblju nema ostvarenih prihoda od prodaje nefinancijske imovine, dok su rashodi za nabavu nefinancijske imovine ostvareni u iznosu od 18.406,34 EUR. Navedeni rashod odnosi se na nabavu knjižne građe i računala i računalne oprema.
U navedenom razdoblju nije bilo ostvarenih primitaka i izdataka od financijske imovine i zaduživanja.
U razdoblju od 1. siječnja do 30. rujna 2025. godine ostvaren je višak prihoda poslovanja u iznosu od 11.236,72 EUR,  manjak prihoda od nefinancijske imovine u iznosu od 18.406,34 EUR, slijedom čega je na kraju izvještajnog razdoblja ostvaren ukupan manjak prihoda i primitaka u iznosu od 7.169,62 EUR.
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0a82a219c4c13" /></Relationships>
</file>